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Absence Management Policy</w:t>
      </w:r>
    </w:p>
    <w:p>
      <w:pPr>
        <w:spacing w:after="40"/>
      </w:pPr>
      <w:r>
        <w:rPr>
          <w:b/>
          <w:color w:val="595959"/>
        </w:rPr>
        <w:t xml:space="preserve">[Company Name]</w:t>
      </w:r>
    </w:p>
    <w:p>
      <w:pPr>
        <w:spacing w:after="40"/>
      </w:pPr>
      <w:r>
        <w:rPr>
          <w:color w:val="595959"/>
        </w:rPr>
        <w:t xml:space="preserve">Effective date: [Date]    Review date: [Date]    Policy owner: [Name / role]</w:t>
      </w:r>
    </w:p>
    <w:p>
      <w:r>
        <w:rPr>
          <w:i/>
          <w:color w:val="595959"/>
        </w:rPr>
        <w:t xml:space="preserve">How to use: replace everything in [square brackets], choose one option where options are shown, and delete this note. Check the finished policy against your employment contracts. Acas (acas.org.uk) gives free guidance.</w:t>
      </w:r>
    </w:p>
    <w:p>
      <w:pPr>
        <w:pStyle w:val="Heading1"/>
        <w:keepNext/>
      </w:pPr>
      <w:r>
        <w:t xml:space="preserve">1. Purpose and scope</w:t>
      </w:r>
    </w:p>
    <w:p>
      <w:pPr>
        <w:tabs>
          <w:tab w:val="left" w:pos="567"/>
        </w:tabs>
        <w:ind w:left="567" w:hanging="567"/>
      </w:pPr>
      <w:r>
        <w:t xml:space="preserve">1.1	This policy explains how [Company Name] manages planned and unplanned absence: how to report it, what evidence we need, how we support employees back to work and when we review absence.</w:t>
      </w:r>
    </w:p>
    <w:p>
      <w:pPr>
        <w:tabs>
          <w:tab w:val="left" w:pos="567"/>
        </w:tabs>
        <w:ind w:left="567" w:hanging="567"/>
      </w:pPr>
      <w:r>
        <w:t xml:space="preserve">1.2	It applies to all employees [and workers]. It does not form part of any contract of employment.</w:t>
      </w:r>
    </w:p>
    <w:p>
      <w:pPr>
        <w:tabs>
          <w:tab w:val="left" w:pos="567"/>
        </w:tabs>
        <w:ind w:left="567" w:hanging="567"/>
      </w:pPr>
      <w:r>
        <w:t xml:space="preserve">1.3	Our aim is to treat everyone consistently and fairly, to support people who are unwell, and to keep the business running.</w:t>
      </w:r>
    </w:p>
    <w:p>
      <w:pPr>
        <w:pStyle w:val="Heading1"/>
        <w:keepNext/>
      </w:pPr>
      <w:r>
        <w:t xml:space="preserve">2. Reporting absence</w:t>
      </w:r>
    </w:p>
    <w:p>
      <w:pPr>
        <w:tabs>
          <w:tab w:val="left" w:pos="567"/>
        </w:tabs>
        <w:ind w:left="567" w:hanging="567"/>
      </w:pPr>
      <w:r>
        <w:t xml:space="preserve">2.1	If you cannot come to work, contact </w:t>
      </w:r>
      <w:r>
        <w:rPr>
          <w:b/>
        </w:rPr>
        <w:t xml:space="preserve">[line manager / name]</w:t>
      </w:r>
      <w:r>
        <w:t xml:space="preserve"> by </w:t>
      </w:r>
      <w:r>
        <w:rPr>
          <w:b/>
        </w:rPr>
        <w:t xml:space="preserve">[phone call]</w:t>
      </w:r>
      <w:r>
        <w:t xml:space="preserve"> before </w:t>
      </w:r>
      <w:r>
        <w:rPr>
          <w:b/>
        </w:rPr>
        <w:t xml:space="preserve">[time]</w:t>
      </w:r>
      <w:r>
        <w:t xml:space="preserve"> on the first day. Make the contact yourself unless you are too unwell.</w:t>
      </w:r>
    </w:p>
    <w:p>
      <w:pPr>
        <w:tabs>
          <w:tab w:val="left" w:pos="567"/>
        </w:tabs>
        <w:ind w:left="567" w:hanging="567"/>
      </w:pPr>
      <w:r>
        <w:t xml:space="preserve">2.2	Say why you are absent (in general terms), when you expect to return and anything urgent that needs covering.</w:t>
      </w:r>
    </w:p>
    <w:p>
      <w:pPr>
        <w:tabs>
          <w:tab w:val="left" w:pos="567"/>
        </w:tabs>
        <w:ind w:left="567" w:hanging="567"/>
      </w:pPr>
      <w:r>
        <w:t xml:space="preserve">2.3	Keep in touch [each day / as agreed] until you return or a fit note covers your absence.</w:t>
      </w:r>
    </w:p>
    <w:p>
      <w:pPr>
        <w:tabs>
          <w:tab w:val="left" w:pos="567"/>
        </w:tabs>
        <w:ind w:left="567" w:hanging="567"/>
      </w:pPr>
      <w:r>
        <w:t xml:space="preserve">2.4	Absence that is not reported or approved is unauthorised. It may be unpaid and may be dealt with under our disciplinary procedure. We will try to contact you first to check you are safe.</w:t>
      </w:r>
    </w:p>
    <w:p>
      <w:pPr>
        <w:pStyle w:val="Heading1"/>
        <w:keepNext/>
      </w:pPr>
      <w:r>
        <w:t xml:space="preserve">3. Short-term sickness</w:t>
      </w:r>
    </w:p>
    <w:tbl>
      <w:tblPr>
        <w:tblStyle w:val="TableGrid"/>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Pr>
      <w:tblGrid>
        <w:gridCol w:w="2120"/>
        <w:gridCol w:w="3276"/>
        <w:gridCol w:w="4240"/>
      </w:tblGrid>
      <w:tr>
        <w:trPr>
          <w:tblHeader/>
        </w:trPr>
        <w:tc>
          <w:tcPr>
            <w:tcW w:w="2120" w:type="dxa"/>
            <w:shd w:val="clear" w:color="auto" w:fill="E8F7F1"/>
          </w:tcPr>
          <w:p>
            <w:pPr>
              <w:spacing w:after="0"/>
            </w:pPr>
            <w:r>
              <w:rPr>
                <w:b/>
                <w:sz w:val="20"/>
                <w:szCs w:val="20"/>
              </w:rPr>
              <w:t xml:space="preserve">Length of absence</w:t>
            </w:r>
          </w:p>
        </w:tc>
        <w:tc>
          <w:tcPr>
            <w:tcW w:w="3276" w:type="dxa"/>
            <w:shd w:val="clear" w:color="auto" w:fill="E8F7F1"/>
          </w:tcPr>
          <w:p>
            <w:pPr>
              <w:spacing w:after="0"/>
            </w:pPr>
            <w:r>
              <w:rPr>
                <w:b/>
                <w:sz w:val="20"/>
                <w:szCs w:val="20"/>
              </w:rPr>
              <w:t xml:space="preserve">Evidence needed</w:t>
            </w:r>
          </w:p>
        </w:tc>
        <w:tc>
          <w:tcPr>
            <w:tcW w:w="4240" w:type="dxa"/>
            <w:shd w:val="clear" w:color="auto" w:fill="E8F7F1"/>
          </w:tcPr>
          <w:p>
            <w:pPr>
              <w:spacing w:after="0"/>
            </w:pPr>
            <w:r>
              <w:rPr>
                <w:b/>
                <w:sz w:val="20"/>
                <w:szCs w:val="20"/>
              </w:rPr>
              <w:t xml:space="preserve">Notes</w:t>
            </w:r>
          </w:p>
        </w:tc>
      </w:tr>
      <w:tr>
        <w:trPr>
          <w:trHeight w:val="440"/>
        </w:trPr>
        <w:tc>
          <w:tcPr>
            <w:tcW w:w="2120" w:type="dxa"/>
          </w:tcPr>
          <w:p>
            <w:pPr>
              <w:spacing w:after="0"/>
            </w:pPr>
            <w:r>
              <w:rPr>
                <w:sz w:val="20"/>
                <w:szCs w:val="20"/>
              </w:rPr>
              <w:t xml:space="preserve">1 to 7 calendar days</w:t>
            </w:r>
          </w:p>
        </w:tc>
        <w:tc>
          <w:tcPr>
            <w:tcW w:w="3276" w:type="dxa"/>
          </w:tcPr>
          <w:p>
            <w:pPr>
              <w:spacing w:after="0"/>
            </w:pPr>
            <w:r>
              <w:rPr>
                <w:sz w:val="20"/>
                <w:szCs w:val="20"/>
              </w:rPr>
              <w:t xml:space="preserve">Self-certification ([absence form / TimeTally / return-to-work form])</w:t>
            </w:r>
          </w:p>
        </w:tc>
        <w:tc>
          <w:tcPr>
            <w:tcW w:w="4240" w:type="dxa"/>
          </w:tcPr>
          <w:p>
            <w:pPr>
              <w:spacing w:after="0"/>
            </w:pPr>
            <w:r>
              <w:rPr>
                <w:sz w:val="20"/>
                <w:szCs w:val="20"/>
              </w:rPr>
              <w:t xml:space="preserve">Weekends and bank holidays count. If we ask for medical evidence in this period, we pay any fee.</w:t>
            </w:r>
          </w:p>
        </w:tc>
      </w:tr>
      <w:tr>
        <w:trPr>
          <w:trHeight w:val="440"/>
        </w:trPr>
        <w:tc>
          <w:tcPr>
            <w:tcW w:w="2120" w:type="dxa"/>
          </w:tcPr>
          <w:p>
            <w:pPr>
              <w:spacing w:after="0"/>
            </w:pPr>
            <w:r>
              <w:rPr>
                <w:sz w:val="20"/>
                <w:szCs w:val="20"/>
              </w:rPr>
              <w:t xml:space="preserve">8 calendar days or more</w:t>
            </w:r>
          </w:p>
        </w:tc>
        <w:tc>
          <w:tcPr>
            <w:tcW w:w="3276" w:type="dxa"/>
          </w:tcPr>
          <w:p>
            <w:pPr>
              <w:spacing w:after="0"/>
            </w:pPr>
            <w:r>
              <w:rPr>
                <w:sz w:val="20"/>
                <w:szCs w:val="20"/>
              </w:rPr>
              <w:t xml:space="preserve">Fit note</w:t>
            </w:r>
          </w:p>
        </w:tc>
        <w:tc>
          <w:tcPr>
            <w:tcW w:w="4240" w:type="dxa"/>
          </w:tcPr>
          <w:p>
            <w:pPr>
              <w:spacing w:after="0"/>
            </w:pPr>
            <w:r>
              <w:rPr>
                <w:sz w:val="20"/>
                <w:szCs w:val="20"/>
              </w:rPr>
              <w:t xml:space="preserve">Issued by a doctor, registered nurse, occupational therapist, pharmacist or physiotherapist. Send it to [name / role] [within X days].</w:t>
            </w:r>
          </w:p>
        </w:tc>
      </w:tr>
      <w:tr>
        <w:trPr>
          <w:trHeight w:val="440"/>
        </w:trPr>
        <w:tc>
          <w:tcPr>
            <w:tcW w:w="2120" w:type="dxa"/>
          </w:tcPr>
          <w:p>
            <w:pPr>
              <w:spacing w:after="0"/>
            </w:pPr>
            <w:r>
              <w:rPr>
                <w:sz w:val="20"/>
                <w:szCs w:val="20"/>
              </w:rPr>
              <w:t xml:space="preserve">Continuing absence</w:t>
            </w:r>
          </w:p>
        </w:tc>
        <w:tc>
          <w:tcPr>
            <w:tcW w:w="3276" w:type="dxa"/>
          </w:tcPr>
          <w:p>
            <w:pPr>
              <w:spacing w:after="0"/>
            </w:pPr>
            <w:r>
              <w:rPr>
                <w:sz w:val="20"/>
                <w:szCs w:val="20"/>
              </w:rPr>
              <w:t xml:space="preserve">Further fit notes with no gaps</w:t>
            </w:r>
          </w:p>
        </w:tc>
        <w:tc>
          <w:tcPr>
            <w:tcW w:w="4240" w:type="dxa"/>
          </w:tcPr>
          <w:p>
            <w:pPr>
              <w:spacing w:after="0"/>
            </w:pPr>
            <w:r>
              <w:rPr>
                <w:sz w:val="20"/>
                <w:szCs w:val="20"/>
              </w:rPr>
              <w:t xml:space="preserve">Each fit note should start when the last one ends.</w:t>
            </w:r>
          </w:p>
        </w:tc>
      </w:tr>
    </w:tbl>
    <w:p>
      <w:pPr>
        <w:spacing w:after="120"/>
      </w:pPr>
    </w:p>
    <w:p>
      <w:pPr>
        <w:tabs>
          <w:tab w:val="left" w:pos="567"/>
        </w:tabs>
        <w:ind w:left="567" w:hanging="567"/>
      </w:pPr>
      <w:r>
        <w:t xml:space="preserve">3.1	If a fit note says you "may be fit for work", we will discuss the suggested changes with you. If we cannot agree them, the fit note is evidence that you are not fit for work for sick pay purposes. You can return before a fit note ends without being "signed back".</w:t>
      </w:r>
    </w:p>
    <w:p>
      <w:pPr>
        <w:pStyle w:val="Heading1"/>
        <w:keepNext/>
      </w:pPr>
      <w:r>
        <w:t xml:space="preserve">4. Sick pay</w:t>
      </w:r>
    </w:p>
    <w:p>
      <w:pPr>
        <w:tabs>
          <w:tab w:val="left" w:pos="567"/>
        </w:tabs>
        <w:ind w:left="567" w:hanging="567"/>
      </w:pPr>
      <w:r>
        <w:t xml:space="preserve">4.1	Employees who are sick for at least one full working day are entitled to Statutory Sick Pay (SSP) if they meet the conditions set by HMRC. Since 6 April 2026 there is no minimum earnings requirement and no unpaid "waiting days": SSP is paid from the first full day of sickness absence.</w:t>
      </w:r>
    </w:p>
    <w:p>
      <w:pPr>
        <w:tabs>
          <w:tab w:val="left" w:pos="567"/>
        </w:tabs>
        <w:ind w:left="567" w:hanging="567"/>
      </w:pPr>
      <w:r>
        <w:t xml:space="preserve">4.2	SSP is </w:t>
      </w:r>
      <w:r>
        <w:rPr>
          <w:b/>
        </w:rPr>
        <w:t xml:space="preserve">£123.25 a week or 80% of the employee's average weekly earnings, whichever is lower</w:t>
      </w:r>
      <w:r>
        <w:t xml:space="preserve"> (rate from 6 April 2026). It is paid for the days the employee normally works ("qualifying days") for up to 28 weeks.</w:t>
      </w:r>
    </w:p>
    <w:p>
      <w:pPr>
        <w:tabs>
          <w:tab w:val="left" w:pos="567"/>
        </w:tabs>
        <w:ind w:left="567" w:hanging="567"/>
      </w:pPr>
      <w:r>
        <w:t xml:space="preserve">4.3	Example: an employee who works 5 days a week and earns £500 a week gets the full £123.25 a week (80% of £500 is £400, which is higher), or £24.65 for each qualifying day. An employee earning £120 a week gets £96 a week (80% of £120), or £19.20 a day over 5 days.</w:t>
      </w:r>
    </w:p>
    <w:p>
      <w:pPr>
        <w:tabs>
          <w:tab w:val="left" w:pos="567"/>
        </w:tabs>
        <w:ind w:left="567" w:hanging="567"/>
      </w:pPr>
      <w:r>
        <w:t xml:space="preserve">4.4	[Company Name] [does not pay company sick pay / pays company sick pay as follows: [e.g. full pay for [X] weeks then half pay for [X] weeks, after [X] months' service]]. Company sick pay includes any SSP due; it is not paid on top of it.</w:t>
      </w:r>
    </w:p>
    <w:p>
      <w:pPr>
        <w:tabs>
          <w:tab w:val="left" w:pos="567"/>
        </w:tabs>
        <w:ind w:left="567" w:hanging="567"/>
      </w:pPr>
      <w:r>
        <w:t xml:space="preserve">4.5	If an employee is not entitled to SSP, we will send them form SSP1 within 7 days of their first day off sick. If SSP is expected to end before their sickness does, we will send form SSP1 on or before the beginning of the 23rd week, so they can claim other support.</w:t>
      </w:r>
    </w:p>
    <w:p>
      <w:pPr>
        <w:tabs>
          <w:tab w:val="left" w:pos="567"/>
        </w:tabs>
        <w:ind w:left="567" w:hanging="567"/>
      </w:pPr>
      <w:r>
        <w:t xml:space="preserve">4.6	SSP rates change each April. [Name / role] will update this policy when they do.</w:t>
      </w:r>
    </w:p>
    <w:p>
      <w:pPr>
        <w:pStyle w:val="Heading1"/>
        <w:keepNext/>
      </w:pPr>
      <w:r>
        <w:t xml:space="preserve">5. Return to work</w:t>
      </w:r>
    </w:p>
    <w:p>
      <w:pPr>
        <w:tabs>
          <w:tab w:val="left" w:pos="567"/>
        </w:tabs>
        <w:ind w:left="567" w:hanging="567"/>
      </w:pPr>
      <w:r>
        <w:t xml:space="preserve">5.1	After every absence your manager will hold a short return-to-work meeting, usually on your first day back. It checks you are ready to return, agrees any support or adjustments and records the absence on our return-to-work form.</w:t>
      </w:r>
    </w:p>
    <w:p>
      <w:pPr>
        <w:tabs>
          <w:tab w:val="left" w:pos="567"/>
        </w:tabs>
        <w:ind w:left="567" w:hanging="567"/>
      </w:pPr>
      <w:r>
        <w:t xml:space="preserve">5.2	After a longer absence we may agree a phased return, with a date to review it.</w:t>
      </w:r>
    </w:p>
    <w:p>
      <w:pPr>
        <w:pStyle w:val="Heading1"/>
        <w:keepNext/>
      </w:pPr>
      <w:r>
        <w:t xml:space="preserve">6. Monitoring absence and the Bradford Factor</w:t>
      </w:r>
    </w:p>
    <w:p>
      <w:pPr>
        <w:tabs>
          <w:tab w:val="left" w:pos="567"/>
        </w:tabs>
        <w:ind w:left="567" w:hanging="567"/>
      </w:pPr>
      <w:r>
        <w:t xml:space="preserve">6.1	We record all absence and review it against the review points below. Review points prompt a supportive conversation. They never lead automatically to disciplinary action.</w:t>
      </w:r>
    </w:p>
    <w:p>
      <w:pPr>
        <w:tabs>
          <w:tab w:val="left" w:pos="567"/>
        </w:tabs>
        <w:ind w:left="567" w:hanging="567"/>
      </w:pPr>
      <w:r>
        <w:t xml:space="preserve">6.2	We use the Bradford Factor as one indicator. It is a management tool, not a legal requirement. It weights frequent short absences more heavily than one long absence:</w:t>
      </w:r>
    </w:p>
    <w:p>
      <w:r>
        <w:rPr>
          <w:b/>
        </w:rPr>
        <w:t xml:space="preserve">Bradford Factor = S × S × D</w:t>
      </w:r>
      <w:r>
        <w:t xml:space="preserve">, where S is the number of separate spells of absence and D is the total days absent, both over a rolling [52 weeks].</w:t>
      </w:r>
    </w:p>
    <w:tbl>
      <w:tblPr>
        <w:tblStyle w:val="TableGrid"/>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Pr>
      <w:tblGrid>
        <w:gridCol w:w="4433"/>
        <w:gridCol w:w="1734"/>
        <w:gridCol w:w="1734"/>
        <w:gridCol w:w="1734"/>
      </w:tblGrid>
      <w:tr>
        <w:trPr>
          <w:tblHeader/>
        </w:trPr>
        <w:tc>
          <w:tcPr>
            <w:tcW w:w="4433" w:type="dxa"/>
            <w:shd w:val="clear" w:color="auto" w:fill="E8F7F1"/>
          </w:tcPr>
          <w:p>
            <w:pPr>
              <w:spacing w:after="0"/>
            </w:pPr>
            <w:r>
              <w:rPr>
                <w:b/>
                <w:sz w:val="20"/>
                <w:szCs w:val="20"/>
              </w:rPr>
              <w:t xml:space="preserve">Absence in the last 52 weeks</w:t>
            </w:r>
          </w:p>
        </w:tc>
        <w:tc>
          <w:tcPr>
            <w:tcW w:w="1734" w:type="dxa"/>
            <w:shd w:val="clear" w:color="auto" w:fill="E8F7F1"/>
          </w:tcPr>
          <w:p>
            <w:pPr>
              <w:spacing w:after="0"/>
            </w:pPr>
            <w:r>
              <w:rPr>
                <w:b/>
                <w:sz w:val="20"/>
                <w:szCs w:val="20"/>
              </w:rPr>
              <w:t xml:space="preserve">Spells (S)</w:t>
            </w:r>
          </w:p>
        </w:tc>
        <w:tc>
          <w:tcPr>
            <w:tcW w:w="1734" w:type="dxa"/>
            <w:shd w:val="clear" w:color="auto" w:fill="E8F7F1"/>
          </w:tcPr>
          <w:p>
            <w:pPr>
              <w:spacing w:after="0"/>
            </w:pPr>
            <w:r>
              <w:rPr>
                <w:b/>
                <w:sz w:val="20"/>
                <w:szCs w:val="20"/>
              </w:rPr>
              <w:t xml:space="preserve">Days (D)</w:t>
            </w:r>
          </w:p>
        </w:tc>
        <w:tc>
          <w:tcPr>
            <w:tcW w:w="1734" w:type="dxa"/>
            <w:shd w:val="clear" w:color="auto" w:fill="E8F7F1"/>
          </w:tcPr>
          <w:p>
            <w:pPr>
              <w:spacing w:after="0"/>
            </w:pPr>
            <w:r>
              <w:rPr>
                <w:b/>
                <w:sz w:val="20"/>
                <w:szCs w:val="20"/>
              </w:rPr>
              <w:t xml:space="preserve">Score</w:t>
            </w:r>
          </w:p>
        </w:tc>
      </w:tr>
      <w:tr>
        <w:trPr>
          <w:trHeight w:val="440"/>
        </w:trPr>
        <w:tc>
          <w:tcPr>
            <w:tcW w:w="4433" w:type="dxa"/>
          </w:tcPr>
          <w:p>
            <w:pPr>
              <w:spacing w:after="0"/>
            </w:pPr>
            <w:r>
              <w:rPr>
                <w:sz w:val="20"/>
                <w:szCs w:val="20"/>
              </w:rPr>
              <w:t xml:space="preserve">One 10-day absence</w:t>
            </w:r>
          </w:p>
        </w:tc>
        <w:tc>
          <w:tcPr>
            <w:tcW w:w="1734" w:type="dxa"/>
          </w:tcPr>
          <w:p>
            <w:pPr>
              <w:spacing w:after="0"/>
            </w:pPr>
            <w:r>
              <w:rPr>
                <w:sz w:val="20"/>
                <w:szCs w:val="20"/>
              </w:rPr>
              <w:t xml:space="preserve">1</w:t>
            </w:r>
          </w:p>
        </w:tc>
        <w:tc>
          <w:tcPr>
            <w:tcW w:w="1734" w:type="dxa"/>
          </w:tcPr>
          <w:p>
            <w:pPr>
              <w:spacing w:after="0"/>
            </w:pPr>
            <w:r>
              <w:rPr>
                <w:sz w:val="20"/>
                <w:szCs w:val="20"/>
              </w:rPr>
              <w:t xml:space="preserve">10</w:t>
            </w:r>
          </w:p>
        </w:tc>
        <w:tc>
          <w:tcPr>
            <w:tcW w:w="1734" w:type="dxa"/>
          </w:tcPr>
          <w:p>
            <w:pPr>
              <w:spacing w:after="0"/>
            </w:pPr>
            <w:r>
              <w:rPr>
                <w:sz w:val="20"/>
                <w:szCs w:val="20"/>
              </w:rPr>
              <w:t xml:space="preserve">10</w:t>
            </w:r>
          </w:p>
        </w:tc>
      </w:tr>
      <w:tr>
        <w:trPr>
          <w:trHeight w:val="440"/>
        </w:trPr>
        <w:tc>
          <w:tcPr>
            <w:tcW w:w="4433" w:type="dxa"/>
          </w:tcPr>
          <w:p>
            <w:pPr>
              <w:spacing w:after="0"/>
            </w:pPr>
            <w:r>
              <w:rPr>
                <w:sz w:val="20"/>
                <w:szCs w:val="20"/>
              </w:rPr>
              <w:t xml:space="preserve">Five 2-day absences</w:t>
            </w:r>
          </w:p>
        </w:tc>
        <w:tc>
          <w:tcPr>
            <w:tcW w:w="1734" w:type="dxa"/>
          </w:tcPr>
          <w:p>
            <w:pPr>
              <w:spacing w:after="0"/>
            </w:pPr>
            <w:r>
              <w:rPr>
                <w:sz w:val="20"/>
                <w:szCs w:val="20"/>
              </w:rPr>
              <w:t xml:space="preserve">5</w:t>
            </w:r>
          </w:p>
        </w:tc>
        <w:tc>
          <w:tcPr>
            <w:tcW w:w="1734" w:type="dxa"/>
          </w:tcPr>
          <w:p>
            <w:pPr>
              <w:spacing w:after="0"/>
            </w:pPr>
            <w:r>
              <w:rPr>
                <w:sz w:val="20"/>
                <w:szCs w:val="20"/>
              </w:rPr>
              <w:t xml:space="preserve">10</w:t>
            </w:r>
          </w:p>
        </w:tc>
        <w:tc>
          <w:tcPr>
            <w:tcW w:w="1734" w:type="dxa"/>
          </w:tcPr>
          <w:p>
            <w:pPr>
              <w:spacing w:after="0"/>
            </w:pPr>
            <w:r>
              <w:rPr>
                <w:sz w:val="20"/>
                <w:szCs w:val="20"/>
              </w:rPr>
              <w:t xml:space="preserve">250</w:t>
            </w:r>
          </w:p>
        </w:tc>
      </w:tr>
      <w:tr>
        <w:trPr>
          <w:trHeight w:val="440"/>
        </w:trPr>
        <w:tc>
          <w:tcPr>
            <w:tcW w:w="4433" w:type="dxa"/>
          </w:tcPr>
          <w:p>
            <w:pPr>
              <w:spacing w:after="0"/>
            </w:pPr>
            <w:r>
              <w:rPr>
                <w:sz w:val="20"/>
                <w:szCs w:val="20"/>
              </w:rPr>
              <w:t xml:space="preserve">Ten 1-day absences</w:t>
            </w:r>
          </w:p>
        </w:tc>
        <w:tc>
          <w:tcPr>
            <w:tcW w:w="1734" w:type="dxa"/>
          </w:tcPr>
          <w:p>
            <w:pPr>
              <w:spacing w:after="0"/>
            </w:pPr>
            <w:r>
              <w:rPr>
                <w:sz w:val="20"/>
                <w:szCs w:val="20"/>
              </w:rPr>
              <w:t xml:space="preserve">10</w:t>
            </w:r>
          </w:p>
        </w:tc>
        <w:tc>
          <w:tcPr>
            <w:tcW w:w="1734" w:type="dxa"/>
          </w:tcPr>
          <w:p>
            <w:pPr>
              <w:spacing w:after="0"/>
            </w:pPr>
            <w:r>
              <w:rPr>
                <w:sz w:val="20"/>
                <w:szCs w:val="20"/>
              </w:rPr>
              <w:t xml:space="preserve">10</w:t>
            </w:r>
          </w:p>
        </w:tc>
        <w:tc>
          <w:tcPr>
            <w:tcW w:w="1734" w:type="dxa"/>
          </w:tcPr>
          <w:p>
            <w:pPr>
              <w:spacing w:after="0"/>
            </w:pPr>
            <w:r>
              <w:rPr>
                <w:sz w:val="20"/>
                <w:szCs w:val="20"/>
              </w:rPr>
              <w:t xml:space="preserve">1,000</w:t>
            </w:r>
          </w:p>
        </w:tc>
      </w:tr>
    </w:tbl>
    <w:p>
      <w:pPr>
        <w:spacing w:after="120"/>
      </w:pPr>
    </w:p>
    <w:p>
      <w:r>
        <w:t xml:space="preserve">Review points (set your own and apply them to everyone):</w:t>
      </w:r>
    </w:p>
    <w:tbl>
      <w:tblPr>
        <w:tblStyle w:val="TableGrid"/>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Pr>
      <w:tblGrid>
        <w:gridCol w:w="2505"/>
        <w:gridCol w:w="2505"/>
        <w:gridCol w:w="4626"/>
      </w:tblGrid>
      <w:tr>
        <w:trPr>
          <w:tblHeader/>
        </w:trPr>
        <w:tc>
          <w:tcPr>
            <w:tcW w:w="2505" w:type="dxa"/>
            <w:shd w:val="clear" w:color="auto" w:fill="E8F7F1"/>
          </w:tcPr>
          <w:p>
            <w:pPr>
              <w:spacing w:after="0"/>
            </w:pPr>
            <w:r>
              <w:rPr>
                <w:b/>
                <w:sz w:val="20"/>
                <w:szCs w:val="20"/>
              </w:rPr>
              <w:t xml:space="preserve">Review point</w:t>
            </w:r>
          </w:p>
        </w:tc>
        <w:tc>
          <w:tcPr>
            <w:tcW w:w="2505" w:type="dxa"/>
            <w:shd w:val="clear" w:color="auto" w:fill="E8F7F1"/>
          </w:tcPr>
          <w:p>
            <w:pPr>
              <w:spacing w:after="0"/>
            </w:pPr>
            <w:r>
              <w:rPr>
                <w:b/>
                <w:sz w:val="20"/>
                <w:szCs w:val="20"/>
              </w:rPr>
              <w:t xml:space="preserve">Score or trigger</w:t>
            </w:r>
          </w:p>
        </w:tc>
        <w:tc>
          <w:tcPr>
            <w:tcW w:w="4626" w:type="dxa"/>
            <w:shd w:val="clear" w:color="auto" w:fill="E8F7F1"/>
          </w:tcPr>
          <w:p>
            <w:pPr>
              <w:spacing w:after="0"/>
            </w:pPr>
            <w:r>
              <w:rPr>
                <w:b/>
                <w:sz w:val="20"/>
                <w:szCs w:val="20"/>
              </w:rPr>
              <w:t xml:space="preserve">What happens</w:t>
            </w:r>
          </w:p>
        </w:tc>
      </w:tr>
      <w:tr>
        <w:trPr>
          <w:trHeight w:val="440"/>
        </w:trPr>
        <w:tc>
          <w:tcPr>
            <w:tcW w:w="2505" w:type="dxa"/>
          </w:tcPr>
          <w:p>
            <w:pPr>
              <w:spacing w:after="0"/>
            </w:pPr>
            <w:r>
              <w:rPr>
                <w:sz w:val="20"/>
                <w:szCs w:val="20"/>
              </w:rPr>
              <w:t xml:space="preserve">Informal conversation</w:t>
            </w:r>
          </w:p>
        </w:tc>
        <w:tc>
          <w:tcPr>
            <w:tcW w:w="2505" w:type="dxa"/>
          </w:tcPr>
          <w:p>
            <w:pPr>
              <w:spacing w:after="0"/>
            </w:pPr>
            <w:r>
              <w:rPr>
                <w:sz w:val="20"/>
                <w:szCs w:val="20"/>
              </w:rPr>
              <w:t xml:space="preserve">[e.g. 50+] or [3] spells</w:t>
            </w:r>
          </w:p>
        </w:tc>
        <w:tc>
          <w:tcPr>
            <w:tcW w:w="4626" w:type="dxa"/>
          </w:tcPr>
          <w:p>
            <w:pPr>
              <w:spacing w:after="0"/>
            </w:pPr>
            <w:r>
              <w:rPr>
                <w:sz w:val="20"/>
                <w:szCs w:val="20"/>
              </w:rPr>
              <w:t xml:space="preserve">Manager discusses attendance and any support needed. Noted on file.</w:t>
            </w:r>
          </w:p>
        </w:tc>
      </w:tr>
      <w:tr>
        <w:trPr>
          <w:trHeight w:val="440"/>
        </w:trPr>
        <w:tc>
          <w:tcPr>
            <w:tcW w:w="2505" w:type="dxa"/>
          </w:tcPr>
          <w:p>
            <w:pPr>
              <w:spacing w:after="0"/>
            </w:pPr>
            <w:r>
              <w:rPr>
                <w:sz w:val="20"/>
                <w:szCs w:val="20"/>
              </w:rPr>
              <w:t xml:space="preserve">First review meeting</w:t>
            </w:r>
          </w:p>
        </w:tc>
        <w:tc>
          <w:tcPr>
            <w:tcW w:w="2505" w:type="dxa"/>
          </w:tcPr>
          <w:p>
            <w:pPr>
              <w:spacing w:after="0"/>
            </w:pPr>
            <w:r>
              <w:rPr>
                <w:sz w:val="20"/>
                <w:szCs w:val="20"/>
              </w:rPr>
              <w:t xml:space="preserve">[e.g. 125+] or [8] days</w:t>
            </w:r>
          </w:p>
        </w:tc>
        <w:tc>
          <w:tcPr>
            <w:tcW w:w="4626" w:type="dxa"/>
          </w:tcPr>
          <w:p>
            <w:pPr>
              <w:spacing w:after="0"/>
            </w:pPr>
            <w:r>
              <w:rPr>
                <w:sz w:val="20"/>
                <w:szCs w:val="20"/>
              </w:rPr>
              <w:t xml:space="preserve">Formal meeting. Improvement period of [X] weeks agreed, with support.</w:t>
            </w:r>
          </w:p>
        </w:tc>
      </w:tr>
      <w:tr>
        <w:trPr>
          <w:trHeight w:val="440"/>
        </w:trPr>
        <w:tc>
          <w:tcPr>
            <w:tcW w:w="2505" w:type="dxa"/>
          </w:tcPr>
          <w:p>
            <w:pPr>
              <w:spacing w:after="0"/>
            </w:pPr>
            <w:r>
              <w:rPr>
                <w:sz w:val="20"/>
                <w:szCs w:val="20"/>
              </w:rPr>
              <w:t xml:space="preserve">Second review meeting</w:t>
            </w:r>
          </w:p>
        </w:tc>
        <w:tc>
          <w:tcPr>
            <w:tcW w:w="2505" w:type="dxa"/>
          </w:tcPr>
          <w:p>
            <w:pPr>
              <w:spacing w:after="0"/>
            </w:pPr>
            <w:r>
              <w:rPr>
                <w:sz w:val="20"/>
                <w:szCs w:val="20"/>
              </w:rPr>
              <w:t xml:space="preserve">[e.g. 400+]</w:t>
            </w:r>
          </w:p>
        </w:tc>
        <w:tc>
          <w:tcPr>
            <w:tcW w:w="4626" w:type="dxa"/>
          </w:tcPr>
          <w:p>
            <w:pPr>
              <w:spacing w:after="0"/>
            </w:pPr>
            <w:r>
              <w:rPr>
                <w:sz w:val="20"/>
                <w:szCs w:val="20"/>
              </w:rPr>
              <w:t xml:space="preserve">Further meeting. Written warning possible under the [attendance / capability] procedure.</w:t>
            </w:r>
          </w:p>
        </w:tc>
      </w:tr>
      <w:tr>
        <w:trPr>
          <w:trHeight w:val="440"/>
        </w:trPr>
        <w:tc>
          <w:tcPr>
            <w:tcW w:w="2505" w:type="dxa"/>
          </w:tcPr>
          <w:p>
            <w:pPr>
              <w:spacing w:after="0"/>
            </w:pPr>
            <w:r>
              <w:rPr>
                <w:sz w:val="20"/>
                <w:szCs w:val="20"/>
              </w:rPr>
              <w:t xml:space="preserve">Final review meeting</w:t>
            </w:r>
          </w:p>
        </w:tc>
        <w:tc>
          <w:tcPr>
            <w:tcW w:w="2505" w:type="dxa"/>
          </w:tcPr>
          <w:p>
            <w:pPr>
              <w:spacing w:after="0"/>
            </w:pPr>
            <w:r>
              <w:rPr>
                <w:sz w:val="20"/>
                <w:szCs w:val="20"/>
              </w:rPr>
              <w:t xml:space="preserve">[e.g. 650+]</w:t>
            </w:r>
          </w:p>
        </w:tc>
        <w:tc>
          <w:tcPr>
            <w:tcW w:w="4626" w:type="dxa"/>
          </w:tcPr>
          <w:p>
            <w:pPr>
              <w:spacing w:after="0"/>
            </w:pPr>
            <w:r>
              <w:rPr>
                <w:sz w:val="20"/>
                <w:szCs w:val="20"/>
              </w:rPr>
              <w:t xml:space="preserve">Final meeting. Outcomes may include a final warning or, as a last resort, dismissal.</w:t>
            </w:r>
          </w:p>
        </w:tc>
      </w:tr>
    </w:tbl>
    <w:p>
      <w:pPr>
        <w:spacing w:after="120"/>
      </w:pPr>
    </w:p>
    <w:p>
      <w:pPr>
        <w:tabs>
          <w:tab w:val="left" w:pos="567"/>
        </w:tabs>
        <w:ind w:left="567" w:hanging="567"/>
      </w:pPr>
      <w:r>
        <w:t xml:space="preserve">6.3	Absence linked to a disability or to pregnancy will [not count towards / be adjusted in] review points. We will also consider reasonable adjustments under the Equality Act 2010.</w:t>
      </w:r>
    </w:p>
    <w:p>
      <w:pPr>
        <w:tabs>
          <w:tab w:val="left" w:pos="567"/>
        </w:tabs>
        <w:ind w:left="567" w:hanging="567"/>
      </w:pPr>
      <w:r>
        <w:t xml:space="preserve">6.4	You will be told in writing before any formal meeting and may bring a colleague or trade union representative. You may appeal against any formal outcome to [name / role] within [5] working days.</w:t>
      </w:r>
    </w:p>
    <w:p>
      <w:pPr>
        <w:pStyle w:val="Heading1"/>
        <w:keepNext/>
      </w:pPr>
      <w:r>
        <w:t xml:space="preserve">7. Long-term absence</w:t>
      </w:r>
    </w:p>
    <w:p>
      <w:pPr>
        <w:tabs>
          <w:tab w:val="left" w:pos="567"/>
        </w:tabs>
        <w:ind w:left="567" w:hanging="567"/>
      </w:pPr>
      <w:r>
        <w:t xml:space="preserve">7.1	Absence of [4] weeks or more in a row is long-term. We will agree how often we keep in touch.</w:t>
      </w:r>
    </w:p>
    <w:p>
      <w:pPr>
        <w:tabs>
          <w:tab w:val="left" w:pos="567"/>
        </w:tabs>
        <w:ind w:left="567" w:hanging="567"/>
      </w:pPr>
      <w:r>
        <w:t xml:space="preserve">7.2	With your consent we may refer you to occupational health or ask your doctor for a report, so we understand how to support your return.</w:t>
      </w:r>
    </w:p>
    <w:p>
      <w:pPr>
        <w:tabs>
          <w:tab w:val="left" w:pos="567"/>
        </w:tabs>
        <w:ind w:left="567" w:hanging="567"/>
      </w:pPr>
      <w:r>
        <w:t xml:space="preserve">7.3	We will consider a phased return, reasonable adjustments and alternative roles. Dismissal on grounds of ill health is a last resort and only after a fair process, including up-to-date medical advice and meetings with you.</w:t>
      </w:r>
    </w:p>
    <w:p>
      <w:pPr>
        <w:tabs>
          <w:tab w:val="left" w:pos="567"/>
        </w:tabs>
        <w:ind w:left="567" w:hanging="567"/>
      </w:pPr>
      <w:r>
        <w:t xml:space="preserve">7.4	You keep building up holiday while off sick. If sickness stops you taking holiday, up to 4 weeks may be carried over and used within 18 months.</w:t>
      </w:r>
    </w:p>
    <w:p>
      <w:pPr>
        <w:pStyle w:val="Heading1"/>
        <w:keepNext/>
      </w:pPr>
      <w:r>
        <w:t xml:space="preserve">8. Other absence</w:t>
      </w:r>
    </w:p>
    <w:tbl>
      <w:tblPr>
        <w:tblStyle w:val="TableGrid"/>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Pr>
      <w:tblGrid>
        <w:gridCol w:w="2505"/>
        <w:gridCol w:w="7132"/>
      </w:tblGrid>
      <w:tr>
        <w:trPr>
          <w:tblHeader/>
        </w:trPr>
        <w:tc>
          <w:tcPr>
            <w:tcW w:w="2505" w:type="dxa"/>
            <w:shd w:val="clear" w:color="auto" w:fill="E8F7F1"/>
          </w:tcPr>
          <w:p>
            <w:pPr>
              <w:spacing w:after="0"/>
            </w:pPr>
            <w:r>
              <w:rPr>
                <w:b/>
                <w:sz w:val="20"/>
                <w:szCs w:val="20"/>
              </w:rPr>
              <w:t xml:space="preserve">Type</w:t>
            </w:r>
          </w:p>
        </w:tc>
        <w:tc>
          <w:tcPr>
            <w:tcW w:w="7132" w:type="dxa"/>
            <w:shd w:val="clear" w:color="auto" w:fill="E8F7F1"/>
          </w:tcPr>
          <w:p>
            <w:pPr>
              <w:spacing w:after="0"/>
            </w:pPr>
            <w:r>
              <w:rPr>
                <w:b/>
                <w:sz w:val="20"/>
                <w:szCs w:val="20"/>
              </w:rPr>
              <w:t xml:space="preserve">How it works</w:t>
            </w:r>
          </w:p>
        </w:tc>
      </w:tr>
      <w:tr>
        <w:trPr>
          <w:trHeight w:val="440"/>
        </w:trPr>
        <w:tc>
          <w:tcPr>
            <w:tcW w:w="2505" w:type="dxa"/>
          </w:tcPr>
          <w:p>
            <w:pPr>
              <w:spacing w:after="0"/>
            </w:pPr>
            <w:r>
              <w:rPr>
                <w:sz w:val="20"/>
                <w:szCs w:val="20"/>
              </w:rPr>
              <w:t xml:space="preserve">Annual leave</w:t>
            </w:r>
          </w:p>
        </w:tc>
        <w:tc>
          <w:tcPr>
            <w:tcW w:w="7132" w:type="dxa"/>
          </w:tcPr>
          <w:p>
            <w:pPr>
              <w:spacing w:after="0"/>
            </w:pPr>
            <w:r>
              <w:rPr>
                <w:sz w:val="20"/>
                <w:szCs w:val="20"/>
              </w:rPr>
              <w:t xml:space="preserve">Book in advance through [TimeTally / your manager] under our holiday policy.</w:t>
            </w:r>
          </w:p>
        </w:tc>
      </w:tr>
      <w:tr>
        <w:trPr>
          <w:trHeight w:val="440"/>
        </w:trPr>
        <w:tc>
          <w:tcPr>
            <w:tcW w:w="2505" w:type="dxa"/>
          </w:tcPr>
          <w:p>
            <w:pPr>
              <w:spacing w:after="0"/>
            </w:pPr>
            <w:r>
              <w:rPr>
                <w:sz w:val="20"/>
                <w:szCs w:val="20"/>
              </w:rPr>
              <w:t xml:space="preserve">Sick during holiday</w:t>
            </w:r>
          </w:p>
        </w:tc>
        <w:tc>
          <w:tcPr>
            <w:tcW w:w="7132" w:type="dxa"/>
          </w:tcPr>
          <w:p>
            <w:pPr>
              <w:spacing w:after="0"/>
            </w:pPr>
            <w:r>
              <w:rPr>
                <w:sz w:val="20"/>
                <w:szCs w:val="20"/>
              </w:rPr>
              <w:t xml:space="preserve">Report it as sickness and provide evidence. The time can be taken as sick leave and the holiday used later.</w:t>
            </w:r>
          </w:p>
        </w:tc>
      </w:tr>
      <w:tr>
        <w:trPr>
          <w:trHeight w:val="440"/>
        </w:trPr>
        <w:tc>
          <w:tcPr>
            <w:tcW w:w="2505" w:type="dxa"/>
          </w:tcPr>
          <w:p>
            <w:pPr>
              <w:spacing w:after="0"/>
            </w:pPr>
            <w:r>
              <w:rPr>
                <w:sz w:val="20"/>
                <w:szCs w:val="20"/>
              </w:rPr>
              <w:t xml:space="preserve">Time off for dependants</w:t>
            </w:r>
          </w:p>
        </w:tc>
        <w:tc>
          <w:tcPr>
            <w:tcW w:w="7132" w:type="dxa"/>
          </w:tcPr>
          <w:p>
            <w:pPr>
              <w:spacing w:after="0"/>
            </w:pPr>
            <w:r>
              <w:rPr>
                <w:sz w:val="20"/>
                <w:szCs w:val="20"/>
              </w:rPr>
              <w:t xml:space="preserve">A reasonable amount of time off to deal with a genuine emergency involving a dependant. [Paid / unpaid] at the company's discretion. Not for situations known about in advance.</w:t>
            </w:r>
          </w:p>
        </w:tc>
      </w:tr>
      <w:tr>
        <w:trPr>
          <w:trHeight w:val="440"/>
        </w:trPr>
        <w:tc>
          <w:tcPr>
            <w:tcW w:w="2505" w:type="dxa"/>
          </w:tcPr>
          <w:p>
            <w:pPr>
              <w:spacing w:after="0"/>
            </w:pPr>
            <w:r>
              <w:rPr>
                <w:sz w:val="20"/>
                <w:szCs w:val="20"/>
              </w:rPr>
              <w:t xml:space="preserve">Family leave</w:t>
            </w:r>
          </w:p>
        </w:tc>
        <w:tc>
          <w:tcPr>
            <w:tcW w:w="7132" w:type="dxa"/>
          </w:tcPr>
          <w:p>
            <w:pPr>
              <w:spacing w:after="0"/>
            </w:pPr>
            <w:r>
              <w:rPr>
                <w:sz w:val="20"/>
                <w:szCs w:val="20"/>
              </w:rPr>
              <w:t xml:space="preserve">Maternity, paternity, adoption, shared parental, neonatal care and parental bereavement leave follow the statutory rules and our [family leave policy].</w:t>
            </w:r>
          </w:p>
        </w:tc>
      </w:tr>
      <w:tr>
        <w:trPr>
          <w:trHeight w:val="440"/>
        </w:trPr>
        <w:tc>
          <w:tcPr>
            <w:tcW w:w="2505" w:type="dxa"/>
          </w:tcPr>
          <w:p>
            <w:pPr>
              <w:spacing w:after="0"/>
            </w:pPr>
            <w:r>
              <w:rPr>
                <w:sz w:val="20"/>
                <w:szCs w:val="20"/>
              </w:rPr>
              <w:t xml:space="preserve">Medical appointments</w:t>
            </w:r>
          </w:p>
        </w:tc>
        <w:tc>
          <w:tcPr>
            <w:tcW w:w="7132" w:type="dxa"/>
          </w:tcPr>
          <w:p>
            <w:pPr>
              <w:spacing w:after="0"/>
            </w:pPr>
            <w:r>
              <w:rPr>
                <w:sz w:val="20"/>
                <w:szCs w:val="20"/>
              </w:rPr>
              <w:t xml:space="preserve">Arrange outside working hours where possible. Otherwise [paid / unpaid / taken as holiday]. Statutory rights such as paid time off for antenatal care still apply.</w:t>
            </w:r>
          </w:p>
        </w:tc>
      </w:tr>
      <w:tr>
        <w:trPr>
          <w:trHeight w:val="440"/>
        </w:trPr>
        <w:tc>
          <w:tcPr>
            <w:tcW w:w="2505" w:type="dxa"/>
          </w:tcPr>
          <w:p>
            <w:pPr>
              <w:spacing w:after="0"/>
            </w:pPr>
            <w:r>
              <w:rPr>
                <w:sz w:val="20"/>
                <w:szCs w:val="20"/>
              </w:rPr>
              <w:t xml:space="preserve">Other leave</w:t>
            </w:r>
          </w:p>
        </w:tc>
        <w:tc>
          <w:tcPr>
            <w:tcW w:w="7132" w:type="dxa"/>
          </w:tcPr>
          <w:p>
            <w:pPr>
              <w:spacing w:after="0"/>
            </w:pPr>
            <w:r>
              <w:rPr>
                <w:sz w:val="20"/>
                <w:szCs w:val="20"/>
              </w:rPr>
              <w:t xml:space="preserve">[Jury service, compassionate leave, public duties: see [policy] or ask your manager.]</w:t>
            </w:r>
          </w:p>
        </w:tc>
      </w:tr>
    </w:tbl>
    <w:p>
      <w:pPr>
        <w:spacing w:after="120"/>
      </w:pPr>
    </w:p>
    <w:p>
      <w:pPr>
        <w:pStyle w:val="Heading1"/>
        <w:keepNext/>
      </w:pPr>
      <w:r>
        <w:t xml:space="preserve">9. Records and confidentiality</w:t>
      </w:r>
    </w:p>
    <w:p>
      <w:pPr>
        <w:tabs>
          <w:tab w:val="left" w:pos="567"/>
        </w:tabs>
        <w:ind w:left="567" w:hanging="567"/>
      </w:pPr>
      <w:r>
        <w:t xml:space="preserve">9.1	Absence records and health information are stored securely and seen only by people who need them. Health information is special category data under UK GDPR. Records are kept for [6 years] after employment ends.</w:t>
      </w:r>
    </w:p>
    <w:p>
      <w:pPr>
        <w:pStyle w:val="Heading1"/>
        <w:keepNext/>
      </w:pPr>
      <w:r>
        <w:t xml:space="preserve">10. Responsibilities</w:t>
      </w:r>
    </w:p>
    <w:tbl>
      <w:tblPr>
        <w:tblStyle w:val="TableGrid"/>
        <w:tblW w:w="963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Pr>
      <w:tblGrid>
        <w:gridCol w:w="2120"/>
        <w:gridCol w:w="7517"/>
      </w:tblGrid>
      <w:tr>
        <w:trPr>
          <w:tblHeader/>
        </w:trPr>
        <w:tc>
          <w:tcPr>
            <w:tcW w:w="2120" w:type="dxa"/>
            <w:shd w:val="clear" w:color="auto" w:fill="E8F7F1"/>
          </w:tcPr>
          <w:p>
            <w:pPr>
              <w:spacing w:after="0"/>
            </w:pPr>
            <w:r>
              <w:rPr>
                <w:b/>
                <w:sz w:val="20"/>
                <w:szCs w:val="20"/>
              </w:rPr>
              <w:t xml:space="preserve">Who</w:t>
            </w:r>
          </w:p>
        </w:tc>
        <w:tc>
          <w:tcPr>
            <w:tcW w:w="7517" w:type="dxa"/>
            <w:shd w:val="clear" w:color="auto" w:fill="E8F7F1"/>
          </w:tcPr>
          <w:p>
            <w:pPr>
              <w:spacing w:after="0"/>
            </w:pPr>
            <w:r>
              <w:rPr>
                <w:b/>
                <w:sz w:val="20"/>
                <w:szCs w:val="20"/>
              </w:rPr>
              <w:t xml:space="preserve">Responsibilities</w:t>
            </w:r>
          </w:p>
        </w:tc>
      </w:tr>
      <w:tr>
        <w:trPr>
          <w:trHeight w:val="440"/>
        </w:trPr>
        <w:tc>
          <w:tcPr>
            <w:tcW w:w="2120" w:type="dxa"/>
          </w:tcPr>
          <w:p>
            <w:pPr>
              <w:spacing w:after="0"/>
            </w:pPr>
            <w:r>
              <w:rPr>
                <w:sz w:val="20"/>
                <w:szCs w:val="20"/>
              </w:rPr>
              <w:t xml:space="preserve">Employees</w:t>
            </w:r>
          </w:p>
        </w:tc>
        <w:tc>
          <w:tcPr>
            <w:tcW w:w="7517" w:type="dxa"/>
          </w:tcPr>
          <w:p>
            <w:pPr>
              <w:spacing w:after="0"/>
            </w:pPr>
            <w:r>
              <w:rPr>
                <w:sz w:val="20"/>
                <w:szCs w:val="20"/>
              </w:rPr>
              <w:t xml:space="preserve">Report absence on time, provide evidence, keep in touch, attend meetings.</w:t>
            </w:r>
          </w:p>
        </w:tc>
      </w:tr>
      <w:tr>
        <w:trPr>
          <w:trHeight w:val="440"/>
        </w:trPr>
        <w:tc>
          <w:tcPr>
            <w:tcW w:w="2120" w:type="dxa"/>
          </w:tcPr>
          <w:p>
            <w:pPr>
              <w:spacing w:after="0"/>
            </w:pPr>
            <w:r>
              <w:rPr>
                <w:sz w:val="20"/>
                <w:szCs w:val="20"/>
              </w:rPr>
              <w:t xml:space="preserve">Line managers</w:t>
            </w:r>
          </w:p>
        </w:tc>
        <w:tc>
          <w:tcPr>
            <w:tcW w:w="7517" w:type="dxa"/>
          </w:tcPr>
          <w:p>
            <w:pPr>
              <w:spacing w:after="0"/>
            </w:pPr>
            <w:r>
              <w:rPr>
                <w:sz w:val="20"/>
                <w:szCs w:val="20"/>
              </w:rPr>
              <w:t xml:space="preserve">Record every absence, hold return-to-work meetings, apply review points consistently, consider adjustments.</w:t>
            </w:r>
          </w:p>
        </w:tc>
      </w:tr>
      <w:tr>
        <w:trPr>
          <w:trHeight w:val="440"/>
        </w:trPr>
        <w:tc>
          <w:tcPr>
            <w:tcW w:w="2120" w:type="dxa"/>
          </w:tcPr>
          <w:p>
            <w:pPr>
              <w:spacing w:after="0"/>
            </w:pPr>
            <w:r>
              <w:rPr>
                <w:sz w:val="20"/>
                <w:szCs w:val="20"/>
              </w:rPr>
              <w:t xml:space="preserve">[HR / owner]</w:t>
            </w:r>
          </w:p>
        </w:tc>
        <w:tc>
          <w:tcPr>
            <w:tcW w:w="7517" w:type="dxa"/>
          </w:tcPr>
          <w:p>
            <w:pPr>
              <w:spacing w:after="0"/>
            </w:pPr>
            <w:r>
              <w:rPr>
                <w:sz w:val="20"/>
                <w:szCs w:val="20"/>
              </w:rPr>
              <w:t xml:space="preserve">Keep records, process sick pay and SSP1 forms, train managers, review this policy each April.</w:t>
            </w:r>
          </w:p>
        </w:tc>
      </w:tr>
    </w:tbl>
    <w:p>
      <w:pPr>
        <w:spacing w:after="120"/>
      </w:pPr>
    </w:p>
    <w:p>
      <w:r>
        <w:rPr>
          <w:i/>
          <w:color w:val="595959"/>
        </w:rPr>
        <w:t xml:space="preserve">This policy was last reviewed on [Date].</w:t>
      </w: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r>
      <w:rPr>
        <w:color w:val="808080"/>
        <w:sz w:val="16"/>
        <w:szCs w:val="16"/>
      </w:rPr>
      <w:t xml:space="preserve">Template from TimeTally (timetally.uk). General guidance, not legal advice. Checked against GOV.UK and Acas, October 2026. Review each April.</w:t>
    </w:r>
  </w:p>
</w:ftr>
</file>

<file path=word/styles.xml><?xml version="1.0" encoding="utf-8"?>
<w:styles xmlns:w="http://schemas.openxmlformats.org/wordprocessingml/2006/main">
  <w:docDefaults>
    <w:rPrDefault>
      <w:rPr>
        <w:rFonts w:ascii="Calibri" w:hAnsi="Calibri" w:cs="Calibri" w:eastAsia="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80"/>
    </w:pPr>
    <w:rPr>
      <w:b/>
      <w:color w:val="111827"/>
      <w:sz w:val="40"/>
      <w:szCs w:val="40"/>
    </w:rPr>
  </w:style>
  <w:style w:type="paragraph" w:styleId="Heading1">
    <w:name w:val="heading 1"/>
    <w:basedOn w:val="Normal"/>
    <w:next w:val="Normal"/>
    <w:qFormat/>
    <w:pPr>
      <w:keepNext/>
      <w:spacing w:before="320" w:after="120"/>
      <w:outlineLvl w:val="0"/>
    </w:pPr>
    <w:rPr>
      <w:b/>
      <w:color w:val="0F766E"/>
      <w:sz w:val="28"/>
      <w:szCs w:val="28"/>
    </w:rPr>
  </w:style>
  <w:style w:type="paragraph" w:styleId="Heading2">
    <w:name w:val="heading 2"/>
    <w:basedOn w:val="Normal"/>
    <w:next w:val="Normal"/>
    <w:qFormat/>
    <w:pPr>
      <w:keepNext/>
      <w:spacing w:before="200" w:after="80"/>
      <w:outlineLvl w:val="1"/>
    </w:pPr>
    <w:rPr>
      <w:b/>
      <w:color w:val="111827"/>
      <w:sz w:val="24"/>
      <w:szCs w:val="24"/>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Absence Management Policy</dc:title>
  <dc:creator>TimeTally</dc:creator>
  <dcterms:created xsi:type="dcterms:W3CDTF">2026-10-03T00:00:00Z</dcterms:created>
</cp:coreProperties>
</file>